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7833" w14:textId="201C175C" w:rsidR="00B55873" w:rsidRPr="00BE16C9" w:rsidRDefault="00B55873" w:rsidP="00BE16C9">
      <w:pPr>
        <w:spacing w:before="120" w:after="0" w:line="300" w:lineRule="auto"/>
        <w:ind w:firstLine="709"/>
        <w:jc w:val="center"/>
        <w:rPr>
          <w:rFonts w:ascii="Times New Roman" w:hAnsi="Times New Roman" w:cs="Times New Roman"/>
          <w:b/>
          <w:color w:val="FF0000"/>
          <w:sz w:val="28"/>
          <w:szCs w:val="24"/>
        </w:rPr>
      </w:pPr>
      <w:r w:rsidRPr="00B55873">
        <w:rPr>
          <w:rFonts w:ascii="Times New Roman" w:hAnsi="Times New Roman" w:cs="Times New Roman"/>
          <w:b/>
          <w:color w:val="FF0000"/>
          <w:sz w:val="28"/>
          <w:szCs w:val="24"/>
        </w:rPr>
        <w:t>Tam Metin Yazım Kuralları</w:t>
      </w:r>
    </w:p>
    <w:p w14:paraId="038DD55A" w14:textId="7BB5EAE4" w:rsidR="00B55873" w:rsidRPr="00B55873" w:rsidRDefault="00B55873" w:rsidP="00BE16C9">
      <w:pPr>
        <w:pStyle w:val="ListeParagraf"/>
        <w:numPr>
          <w:ilvl w:val="0"/>
          <w:numId w:val="3"/>
        </w:numPr>
        <w:spacing w:before="240" w:line="300" w:lineRule="auto"/>
        <w:ind w:left="709"/>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 xml:space="preserve">Kenar boşlukları </w:t>
      </w:r>
      <w:r w:rsidRPr="00B55873">
        <w:rPr>
          <w:rFonts w:ascii="Times New Roman" w:eastAsia="Times New Roman" w:hAnsi="Times New Roman" w:cs="Times New Roman"/>
          <w:color w:val="000000" w:themeColor="text1"/>
          <w:sz w:val="24"/>
          <w:bdr w:val="none" w:sz="0" w:space="0" w:color="auto" w:frame="1"/>
          <w:lang w:eastAsia="ru-RU"/>
        </w:rPr>
        <w:t>: 2,5 cm</w:t>
      </w:r>
    </w:p>
    <w:p w14:paraId="2BB10ECD" w14:textId="3083CA12"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Times new roman, 12 punto ile yazınız (Makale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
    <w:p w14:paraId="65BCBBB8" w14:textId="7D9746C6"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Satır aralığı 1,</w:t>
      </w:r>
      <w:r w:rsidRPr="00B55873">
        <w:rPr>
          <w:rFonts w:ascii="Times New Roman" w:hAnsi="Times New Roman" w:cs="Times New Roman"/>
          <w:sz w:val="24"/>
          <w:szCs w:val="24"/>
        </w:rPr>
        <w:t>25 veriniz</w:t>
      </w:r>
    </w:p>
    <w:p w14:paraId="39326B2C" w14:textId="3F9FFA8D"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ANA başlıklar BÜYÜK harfle ve bold yazılmalı</w:t>
      </w:r>
    </w:p>
    <w:p w14:paraId="5F507BF6" w14:textId="3F154F22"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34C0C7DF"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metinlerinizin en az 3 sayfa olması gerekmektedir</w:t>
      </w:r>
    </w:p>
    <w:p w14:paraId="7B49A9C5" w14:textId="0EC75D68" w:rsidR="007063BD"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metinlerinizde ÖZET, GİRİŞ, ARAŞTIRMA VE BULGULAR, SONUÇ ve KAYNAKÇA bölümlerinin ayrı başlıklar altında gösterilmesi gerekmektedir</w:t>
      </w:r>
    </w:p>
    <w:p w14:paraId="5E23AEBA" w14:textId="77777777" w:rsidR="00B55873" w:rsidRDefault="00B55873" w:rsidP="00B55873">
      <w:pPr>
        <w:spacing w:before="120" w:after="0" w:line="300" w:lineRule="auto"/>
        <w:ind w:firstLine="709"/>
        <w:jc w:val="both"/>
        <w:rPr>
          <w:rFonts w:ascii="Times New Roman" w:hAnsi="Times New Roman" w:cs="Times New Roman"/>
          <w:sz w:val="24"/>
          <w:szCs w:val="24"/>
        </w:rPr>
      </w:pPr>
    </w:p>
    <w:p w14:paraId="70B8DFEA" w14:textId="0D46BDF9" w:rsidR="00BE16C9" w:rsidRPr="00B55873" w:rsidRDefault="00B55873" w:rsidP="009038F0">
      <w:pPr>
        <w:spacing w:before="120" w:after="0" w:line="30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B55873">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74E0E92E" w14:textId="651304FE"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735E7CA4" w14:textId="77777777" w:rsidR="00B55873" w:rsidRDefault="00255A55" w:rsidP="001F1BA5">
      <w:pPr>
        <w:spacing w:before="120" w:after="0" w:line="300" w:lineRule="auto"/>
        <w:jc w:val="right"/>
        <w:rPr>
          <w:rFonts w:ascii="Times New Roman" w:eastAsia="Calibri" w:hAnsi="Times New Roman" w:cs="Times New Roman"/>
          <w:sz w:val="24"/>
          <w:szCs w:val="24"/>
        </w:rPr>
      </w:pPr>
      <w:hyperlink r:id="rId9" w:history="1">
        <w:r w:rsidR="00B55873" w:rsidRPr="007063BD">
          <w:rPr>
            <w:rStyle w:val="Kpr"/>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2372875D" w14:textId="6DF2AAAF" w:rsidR="009038F0" w:rsidRDefault="009038F0" w:rsidP="009038F0">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0AE082B6"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31AB0B33" w14:textId="6EA6DF43"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3F44E4C2" w14:textId="09D975BA" w:rsidR="00B55873" w:rsidRDefault="00255A55" w:rsidP="001F1BA5">
      <w:pPr>
        <w:spacing w:before="120" w:after="0" w:line="300" w:lineRule="auto"/>
        <w:ind w:firstLine="709"/>
        <w:jc w:val="right"/>
        <w:rPr>
          <w:rFonts w:ascii="Times New Roman" w:eastAsia="Calibri" w:hAnsi="Times New Roman" w:cs="Times New Roman"/>
          <w:sz w:val="24"/>
          <w:szCs w:val="24"/>
        </w:rPr>
      </w:pPr>
      <w:hyperlink r:id="rId10" w:history="1">
        <w:r w:rsidR="00B55873" w:rsidRPr="007063BD">
          <w:rPr>
            <w:rStyle w:val="Kpr"/>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118AE261" w14:textId="6D10EE2F" w:rsidR="009038F0" w:rsidRPr="009038F0" w:rsidRDefault="009038F0" w:rsidP="009038F0">
      <w:pPr>
        <w:spacing w:before="120" w:after="0" w:line="30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ORCID NO: 0000-0000-0000-0000</w:t>
      </w:r>
    </w:p>
    <w:p w14:paraId="5108BA5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Bu çalışmada ekonomik faktörlerin evlilik kalitesi üzerine etk</w:t>
      </w:r>
      <w:bookmarkStart w:id="0" w:name="_GoBack"/>
      <w:bookmarkEnd w:id="0"/>
      <w:r w:rsidRPr="00B55873">
        <w:rPr>
          <w:rFonts w:ascii="Times New Roman" w:hAnsi="Times New Roman" w:cs="Times New Roman"/>
          <w:sz w:val="24"/>
          <w:szCs w:val="24"/>
        </w:rPr>
        <w:t xml:space="preserve">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w:t>
      </w:r>
      <w:r w:rsidRPr="00B55873">
        <w:rPr>
          <w:rFonts w:ascii="Times New Roman" w:hAnsi="Times New Roman" w:cs="Times New Roman"/>
          <w:sz w:val="24"/>
          <w:szCs w:val="24"/>
        </w:rPr>
        <w:lastRenderedPageBreak/>
        <w:t xml:space="preserve">(556 evli birey) ile görüşülerek elde edilmiştir. Araştırmada, sosyoekonomik verilerin yanı 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This study has been carried out in order to determine the technical, motif and composition characteristics of cicim weavings in Şanlıurfa. Cicim weavings in the region "warp and weft-</w:t>
      </w:r>
      <w:r w:rsidRPr="005E06AB">
        <w:rPr>
          <w:rFonts w:ascii="Times New Roman" w:eastAsia="Times New Roman" w:hAnsi="Times New Roman" w:cs="Times New Roman"/>
          <w:color w:val="000000" w:themeColor="text1"/>
          <w:sz w:val="24"/>
          <w:szCs w:val="24"/>
          <w:lang w:eastAsia="zh-CN"/>
        </w:rPr>
        <w:lastRenderedPageBreak/>
        <w: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r w:rsidRPr="005E06AB">
        <w:rPr>
          <w:rFonts w:ascii="Times New Roman" w:eastAsia="Times New Roman" w:hAnsi="Times New Roman" w:cs="Times New Roman"/>
          <w:b/>
          <w:color w:val="000000" w:themeColor="text1"/>
          <w:sz w:val="24"/>
          <w:szCs w:val="24"/>
          <w:lang w:eastAsia="zh-CN"/>
        </w:rPr>
        <w:t>Keywords</w:t>
      </w:r>
      <w:r w:rsidRPr="005E06AB">
        <w:rPr>
          <w:rFonts w:ascii="Times New Roman" w:eastAsia="Times New Roman" w:hAnsi="Times New Roman" w:cs="Times New Roman"/>
          <w:color w:val="000000" w:themeColor="text1"/>
          <w:sz w:val="24"/>
          <w:szCs w:val="24"/>
          <w:lang w:eastAsia="zh-CN"/>
        </w:rPr>
        <w:t>: Cicim, Şanlıurfa, Cultural Heritage, Traditional Weaving</w:t>
      </w:r>
    </w:p>
    <w:p w14:paraId="06369A5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14:paraId="3465D8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14:paraId="421F8EC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w:t>
      </w:r>
      <w:r w:rsidRPr="00B55873">
        <w:rPr>
          <w:rFonts w:ascii="Times New Roman" w:hAnsi="Times New Roman" w:cs="Times New Roman"/>
          <w:sz w:val="24"/>
          <w:szCs w:val="24"/>
        </w:rPr>
        <w:lastRenderedPageBreak/>
        <w:t xml:space="preserve">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14:paraId="4FB5000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14:paraId="4FBDC0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w:t>
      </w:r>
      <w:r w:rsidRPr="00B55873">
        <w:rPr>
          <w:rFonts w:ascii="Times New Roman" w:hAnsi="Times New Roman" w:cs="Times New Roman"/>
          <w:sz w:val="24"/>
          <w:szCs w:val="24"/>
        </w:rPr>
        <w:lastRenderedPageBreak/>
        <w:t>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14:paraId="57CB0CE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w:t>
      </w:r>
      <w:r w:rsidRPr="00B55873">
        <w:rPr>
          <w:rFonts w:ascii="Times New Roman" w:hAnsi="Times New Roman" w:cs="Times New Roman"/>
          <w:sz w:val="24"/>
          <w:szCs w:val="24"/>
        </w:rPr>
        <w:lastRenderedPageBreak/>
        <w:t>belirlemek amacıyla çok farklı yöntemler kullanılmaktadır. Örneklemin büyüklüğü, “istenilen güç, alfa düzeyi, yordayıcı sayısı ve beklenen etki gibi konulara bağlıdır”. Çoklu korelasyon testi için 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14:paraId="72FE95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14:paraId="5118E41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Sosyo-ekonomik Özellikleri</w:t>
      </w:r>
    </w:p>
    <w:tbl>
      <w:tblPr>
        <w:tblStyle w:val="TabloKlavuzu"/>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Sosyo-ekonomik Değişkenler</w:t>
            </w:r>
          </w:p>
        </w:tc>
        <w:tc>
          <w:tcPr>
            <w:tcW w:w="2302" w:type="dxa"/>
          </w:tcPr>
          <w:p w14:paraId="4304C663"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w:t>
            </w:r>
          </w:p>
        </w:tc>
        <w:tc>
          <w:tcPr>
            <w:tcW w:w="2303" w:type="dxa"/>
          </w:tcPr>
          <w:p w14:paraId="6E5E424D"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BE16C9">
            <w:pPr>
              <w:jc w:val="center"/>
              <w:rPr>
                <w:rFonts w:ascii="Times New Roman" w:hAnsi="Times New Roman" w:cs="Times New Roman"/>
                <w:sz w:val="24"/>
                <w:szCs w:val="24"/>
              </w:rPr>
            </w:pPr>
          </w:p>
        </w:tc>
        <w:tc>
          <w:tcPr>
            <w:tcW w:w="2302" w:type="dxa"/>
          </w:tcPr>
          <w:p w14:paraId="2E45724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BE16C9">
            <w:pPr>
              <w:jc w:val="center"/>
              <w:rPr>
                <w:rFonts w:ascii="Times New Roman" w:hAnsi="Times New Roman" w:cs="Times New Roman"/>
                <w:sz w:val="24"/>
                <w:szCs w:val="24"/>
              </w:rPr>
            </w:pPr>
          </w:p>
        </w:tc>
        <w:tc>
          <w:tcPr>
            <w:tcW w:w="2302" w:type="dxa"/>
          </w:tcPr>
          <w:p w14:paraId="3B00DB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 okul</w:t>
            </w:r>
          </w:p>
        </w:tc>
        <w:tc>
          <w:tcPr>
            <w:tcW w:w="2303" w:type="dxa"/>
          </w:tcPr>
          <w:p w14:paraId="2B020DF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BE16C9">
            <w:pPr>
              <w:jc w:val="center"/>
              <w:rPr>
                <w:rFonts w:ascii="Times New Roman" w:hAnsi="Times New Roman" w:cs="Times New Roman"/>
                <w:sz w:val="24"/>
                <w:szCs w:val="24"/>
              </w:rPr>
            </w:pPr>
          </w:p>
        </w:tc>
        <w:tc>
          <w:tcPr>
            <w:tcW w:w="2302" w:type="dxa"/>
          </w:tcPr>
          <w:p w14:paraId="044E507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BE16C9">
            <w:pPr>
              <w:jc w:val="center"/>
              <w:rPr>
                <w:rFonts w:ascii="Times New Roman" w:hAnsi="Times New Roman" w:cs="Times New Roman"/>
                <w:sz w:val="24"/>
                <w:szCs w:val="24"/>
              </w:rPr>
            </w:pPr>
          </w:p>
        </w:tc>
        <w:tc>
          <w:tcPr>
            <w:tcW w:w="2302" w:type="dxa"/>
          </w:tcPr>
          <w:p w14:paraId="3317066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Üniversite veya Yüksek okul</w:t>
            </w:r>
          </w:p>
        </w:tc>
        <w:tc>
          <w:tcPr>
            <w:tcW w:w="2303" w:type="dxa"/>
          </w:tcPr>
          <w:p w14:paraId="155E5D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242</w:t>
            </w:r>
          </w:p>
        </w:tc>
        <w:tc>
          <w:tcPr>
            <w:tcW w:w="2303" w:type="dxa"/>
          </w:tcPr>
          <w:p w14:paraId="6027E3E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BE16C9">
            <w:pPr>
              <w:jc w:val="center"/>
              <w:rPr>
                <w:rFonts w:ascii="Times New Roman" w:hAnsi="Times New Roman" w:cs="Times New Roman"/>
                <w:sz w:val="24"/>
                <w:szCs w:val="24"/>
              </w:rPr>
            </w:pPr>
          </w:p>
        </w:tc>
        <w:tc>
          <w:tcPr>
            <w:tcW w:w="2302" w:type="dxa"/>
          </w:tcPr>
          <w:p w14:paraId="557349A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Lisans üstü</w:t>
            </w:r>
          </w:p>
        </w:tc>
        <w:tc>
          <w:tcPr>
            <w:tcW w:w="2303" w:type="dxa"/>
          </w:tcPr>
          <w:p w14:paraId="42DDAA1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BE16C9">
            <w:pPr>
              <w:jc w:val="center"/>
              <w:rPr>
                <w:rFonts w:ascii="Times New Roman" w:hAnsi="Times New Roman" w:cs="Times New Roman"/>
                <w:sz w:val="24"/>
                <w:szCs w:val="24"/>
              </w:rPr>
            </w:pPr>
          </w:p>
        </w:tc>
        <w:tc>
          <w:tcPr>
            <w:tcW w:w="2302" w:type="dxa"/>
          </w:tcPr>
          <w:p w14:paraId="632FEC2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BE16C9">
            <w:pPr>
              <w:jc w:val="center"/>
              <w:rPr>
                <w:rFonts w:ascii="Times New Roman" w:hAnsi="Times New Roman" w:cs="Times New Roman"/>
                <w:sz w:val="24"/>
                <w:szCs w:val="24"/>
              </w:rPr>
            </w:pPr>
          </w:p>
        </w:tc>
        <w:tc>
          <w:tcPr>
            <w:tcW w:w="2302" w:type="dxa"/>
          </w:tcPr>
          <w:p w14:paraId="1C84B3B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BE16C9">
            <w:pPr>
              <w:jc w:val="center"/>
              <w:rPr>
                <w:rFonts w:ascii="Times New Roman" w:hAnsi="Times New Roman" w:cs="Times New Roman"/>
                <w:sz w:val="24"/>
                <w:szCs w:val="24"/>
              </w:rPr>
            </w:pPr>
          </w:p>
        </w:tc>
        <w:tc>
          <w:tcPr>
            <w:tcW w:w="2302" w:type="dxa"/>
          </w:tcPr>
          <w:p w14:paraId="2E4EBC4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BE16C9">
            <w:pPr>
              <w:jc w:val="center"/>
              <w:rPr>
                <w:rFonts w:ascii="Times New Roman" w:hAnsi="Times New Roman" w:cs="Times New Roman"/>
                <w:sz w:val="24"/>
                <w:szCs w:val="24"/>
              </w:rPr>
            </w:pPr>
          </w:p>
        </w:tc>
        <w:tc>
          <w:tcPr>
            <w:tcW w:w="2302" w:type="dxa"/>
          </w:tcPr>
          <w:p w14:paraId="0A27980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BE16C9">
            <w:pPr>
              <w:jc w:val="center"/>
              <w:rPr>
                <w:rFonts w:ascii="Times New Roman" w:hAnsi="Times New Roman" w:cs="Times New Roman"/>
                <w:sz w:val="24"/>
                <w:szCs w:val="24"/>
              </w:rPr>
            </w:pPr>
          </w:p>
        </w:tc>
        <w:tc>
          <w:tcPr>
            <w:tcW w:w="2302" w:type="dxa"/>
          </w:tcPr>
          <w:p w14:paraId="692FF38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BE16C9">
            <w:pPr>
              <w:jc w:val="center"/>
              <w:rPr>
                <w:rFonts w:ascii="Times New Roman" w:hAnsi="Times New Roman" w:cs="Times New Roman"/>
                <w:sz w:val="24"/>
                <w:szCs w:val="24"/>
              </w:rPr>
            </w:pPr>
          </w:p>
        </w:tc>
        <w:tc>
          <w:tcPr>
            <w:tcW w:w="2302" w:type="dxa"/>
          </w:tcPr>
          <w:p w14:paraId="1F673D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BE16C9">
            <w:pPr>
              <w:jc w:val="center"/>
              <w:rPr>
                <w:rFonts w:ascii="Times New Roman" w:hAnsi="Times New Roman" w:cs="Times New Roman"/>
                <w:sz w:val="24"/>
                <w:szCs w:val="24"/>
              </w:rPr>
            </w:pPr>
          </w:p>
        </w:tc>
        <w:tc>
          <w:tcPr>
            <w:tcW w:w="2302" w:type="dxa"/>
          </w:tcPr>
          <w:p w14:paraId="743D6CB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BE16C9">
            <w:pPr>
              <w:jc w:val="center"/>
              <w:rPr>
                <w:rFonts w:ascii="Times New Roman" w:hAnsi="Times New Roman" w:cs="Times New Roman"/>
                <w:sz w:val="24"/>
                <w:szCs w:val="24"/>
              </w:rPr>
            </w:pPr>
          </w:p>
        </w:tc>
        <w:tc>
          <w:tcPr>
            <w:tcW w:w="2302" w:type="dxa"/>
          </w:tcPr>
          <w:p w14:paraId="7C51211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BE16C9">
            <w:pPr>
              <w:jc w:val="center"/>
              <w:rPr>
                <w:rFonts w:ascii="Times New Roman" w:hAnsi="Times New Roman" w:cs="Times New Roman"/>
                <w:sz w:val="24"/>
                <w:szCs w:val="24"/>
              </w:rPr>
            </w:pPr>
          </w:p>
        </w:tc>
        <w:tc>
          <w:tcPr>
            <w:tcW w:w="2302" w:type="dxa"/>
          </w:tcPr>
          <w:p w14:paraId="5749E8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BE16C9">
            <w:pPr>
              <w:jc w:val="center"/>
              <w:rPr>
                <w:rFonts w:ascii="Times New Roman" w:hAnsi="Times New Roman" w:cs="Times New Roman"/>
                <w:sz w:val="24"/>
                <w:szCs w:val="24"/>
              </w:rPr>
            </w:pPr>
          </w:p>
        </w:tc>
        <w:tc>
          <w:tcPr>
            <w:tcW w:w="2302" w:type="dxa"/>
          </w:tcPr>
          <w:p w14:paraId="36F2E0B6" w14:textId="77777777" w:rsidR="00BE16C9" w:rsidRPr="00BE16C9" w:rsidRDefault="00BE16C9" w:rsidP="00BE16C9">
            <w:pPr>
              <w:jc w:val="center"/>
              <w:rPr>
                <w:rFonts w:ascii="Times New Roman" w:hAnsi="Times New Roman" w:cs="Times New Roman"/>
                <w:sz w:val="24"/>
                <w:szCs w:val="24"/>
              </w:rPr>
            </w:pPr>
          </w:p>
        </w:tc>
        <w:tc>
          <w:tcPr>
            <w:tcW w:w="2303" w:type="dxa"/>
          </w:tcPr>
          <w:p w14:paraId="1EA37FC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Min-Max</w:t>
            </w:r>
          </w:p>
        </w:tc>
        <w:tc>
          <w:tcPr>
            <w:tcW w:w="2303" w:type="dxa"/>
          </w:tcPr>
          <w:p w14:paraId="016AEBF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BE16C9">
            <w:pPr>
              <w:jc w:val="center"/>
              <w:rPr>
                <w:rFonts w:ascii="Times New Roman" w:hAnsi="Times New Roman" w:cs="Times New Roman"/>
                <w:sz w:val="24"/>
                <w:szCs w:val="24"/>
              </w:rPr>
            </w:pPr>
          </w:p>
        </w:tc>
        <w:tc>
          <w:tcPr>
            <w:tcW w:w="2303" w:type="dxa"/>
          </w:tcPr>
          <w:p w14:paraId="6B257D1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BE16C9">
            <w:pPr>
              <w:jc w:val="center"/>
              <w:rPr>
                <w:rFonts w:ascii="Times New Roman" w:hAnsi="Times New Roman" w:cs="Times New Roman"/>
                <w:sz w:val="24"/>
                <w:szCs w:val="24"/>
              </w:rPr>
            </w:pPr>
          </w:p>
        </w:tc>
        <w:tc>
          <w:tcPr>
            <w:tcW w:w="2303" w:type="dxa"/>
          </w:tcPr>
          <w:p w14:paraId="7C018B4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BE16C9">
            <w:pPr>
              <w:jc w:val="center"/>
              <w:rPr>
                <w:rFonts w:ascii="Times New Roman" w:hAnsi="Times New Roman" w:cs="Times New Roman"/>
                <w:sz w:val="24"/>
                <w:szCs w:val="24"/>
              </w:rPr>
            </w:pPr>
          </w:p>
        </w:tc>
        <w:tc>
          <w:tcPr>
            <w:tcW w:w="2303" w:type="dxa"/>
          </w:tcPr>
          <w:p w14:paraId="79996EF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3D40049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14:paraId="1F80F18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14:paraId="2D454A6C" w14:textId="77777777" w:rsidR="00BE16C9" w:rsidRDefault="00BE16C9" w:rsidP="00BE16C9">
      <w:pPr>
        <w:spacing w:before="120" w:after="0" w:line="300" w:lineRule="auto"/>
        <w:jc w:val="both"/>
        <w:rPr>
          <w:rFonts w:ascii="Times New Roman" w:hAnsi="Times New Roman" w:cs="Times New Roman"/>
          <w:b/>
          <w:sz w:val="24"/>
          <w:szCs w:val="24"/>
        </w:rPr>
      </w:pPr>
    </w:p>
    <w:p w14:paraId="099D645D"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Bağımsız Değişkenler</w:t>
      </w:r>
    </w:p>
    <w:p w14:paraId="761FF99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İnceleme sonucunda ETÖ’nün Cronbach Alpha katsayıları sırasıyla ETÖ top = .96, Fiz= .88, Duy= .92, Zih= .91 bulunmuştur. </w:t>
      </w:r>
    </w:p>
    <w:p w14:paraId="52FDFA2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14:paraId="7472FE1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Verilerin Analizi</w:t>
      </w:r>
    </w:p>
    <w:p w14:paraId="75CE99E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14:paraId="11F2A03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t>Max.</w:t>
            </w:r>
            <w:r w:rsidRPr="00BE16C9">
              <w:rPr>
                <w:rFonts w:ascii="Times New Roman" w:hAnsi="Times New Roman" w:cs="Times New Roman"/>
                <w:sz w:val="24"/>
                <w:szCs w:val="24"/>
              </w:rPr>
              <w:tab/>
              <w:t>Ort.</w:t>
            </w:r>
            <w:r w:rsidRPr="00BE16C9">
              <w:rPr>
                <w:rFonts w:ascii="Times New Roman" w:hAnsi="Times New Roman" w:cs="Times New Roman"/>
                <w:sz w:val="24"/>
                <w:szCs w:val="24"/>
              </w:rPr>
              <w:tab/>
              <w:t>Ss</w:t>
            </w:r>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t>126.00</w:t>
            </w:r>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t>127.00</w:t>
            </w:r>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266A97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lastRenderedPageBreak/>
        <w:t>Tablo 3.</w:t>
      </w:r>
      <w:r w:rsidRPr="00B55873">
        <w:rPr>
          <w:rFonts w:ascii="Times New Roman" w:hAnsi="Times New Roman" w:cs="Times New Roman"/>
          <w:sz w:val="24"/>
          <w:szCs w:val="24"/>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35D348D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BE16C9">
            <w:pPr>
              <w:jc w:val="both"/>
              <w:rPr>
                <w:rFonts w:ascii="Times New Roman" w:hAnsi="Times New Roman" w:cs="Times New Roman"/>
                <w:sz w:val="24"/>
                <w:szCs w:val="24"/>
              </w:rPr>
            </w:pPr>
          </w:p>
        </w:tc>
        <w:tc>
          <w:tcPr>
            <w:tcW w:w="1535" w:type="dxa"/>
          </w:tcPr>
          <w:p w14:paraId="6E03D5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BE16C9">
            <w:pPr>
              <w:jc w:val="both"/>
              <w:rPr>
                <w:rFonts w:ascii="Times New Roman" w:hAnsi="Times New Roman" w:cs="Times New Roman"/>
                <w:sz w:val="24"/>
                <w:szCs w:val="24"/>
              </w:rPr>
            </w:pPr>
          </w:p>
        </w:tc>
        <w:tc>
          <w:tcPr>
            <w:tcW w:w="1535" w:type="dxa"/>
          </w:tcPr>
          <w:p w14:paraId="7688798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BE16C9">
            <w:pPr>
              <w:jc w:val="both"/>
              <w:rPr>
                <w:rFonts w:ascii="Times New Roman" w:hAnsi="Times New Roman" w:cs="Times New Roman"/>
                <w:sz w:val="24"/>
                <w:szCs w:val="24"/>
              </w:rPr>
            </w:pPr>
          </w:p>
        </w:tc>
        <w:tc>
          <w:tcPr>
            <w:tcW w:w="1535" w:type="dxa"/>
          </w:tcPr>
          <w:p w14:paraId="200BE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BE16C9">
            <w:pPr>
              <w:jc w:val="both"/>
              <w:rPr>
                <w:rFonts w:ascii="Times New Roman" w:hAnsi="Times New Roman" w:cs="Times New Roman"/>
                <w:sz w:val="24"/>
                <w:szCs w:val="24"/>
              </w:rPr>
            </w:pPr>
          </w:p>
        </w:tc>
        <w:tc>
          <w:tcPr>
            <w:tcW w:w="1535" w:type="dxa"/>
          </w:tcPr>
          <w:p w14:paraId="1FC752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BE16C9">
            <w:pPr>
              <w:jc w:val="both"/>
              <w:rPr>
                <w:rFonts w:ascii="Times New Roman" w:hAnsi="Times New Roman" w:cs="Times New Roman"/>
                <w:sz w:val="24"/>
                <w:szCs w:val="24"/>
              </w:rPr>
            </w:pPr>
          </w:p>
        </w:tc>
        <w:tc>
          <w:tcPr>
            <w:tcW w:w="1535" w:type="dxa"/>
          </w:tcPr>
          <w:p w14:paraId="487BD40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BE16C9">
            <w:pPr>
              <w:jc w:val="both"/>
              <w:rPr>
                <w:rFonts w:ascii="Times New Roman" w:hAnsi="Times New Roman" w:cs="Times New Roman"/>
                <w:sz w:val="24"/>
                <w:szCs w:val="24"/>
              </w:rPr>
            </w:pPr>
          </w:p>
        </w:tc>
        <w:tc>
          <w:tcPr>
            <w:tcW w:w="1535" w:type="dxa"/>
          </w:tcPr>
          <w:p w14:paraId="75E781B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BE16C9">
            <w:pPr>
              <w:jc w:val="both"/>
              <w:rPr>
                <w:rFonts w:ascii="Times New Roman" w:hAnsi="Times New Roman" w:cs="Times New Roman"/>
                <w:sz w:val="24"/>
                <w:szCs w:val="24"/>
              </w:rPr>
            </w:pPr>
          </w:p>
        </w:tc>
        <w:tc>
          <w:tcPr>
            <w:tcW w:w="1535" w:type="dxa"/>
          </w:tcPr>
          <w:p w14:paraId="23EF6CE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BE16C9">
            <w:pPr>
              <w:jc w:val="both"/>
              <w:rPr>
                <w:rFonts w:ascii="Times New Roman" w:hAnsi="Times New Roman" w:cs="Times New Roman"/>
                <w:sz w:val="24"/>
                <w:szCs w:val="24"/>
              </w:rPr>
            </w:pPr>
          </w:p>
        </w:tc>
        <w:tc>
          <w:tcPr>
            <w:tcW w:w="1535" w:type="dxa"/>
          </w:tcPr>
          <w:p w14:paraId="500322D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BE16C9">
            <w:pPr>
              <w:jc w:val="both"/>
              <w:rPr>
                <w:rFonts w:ascii="Times New Roman" w:hAnsi="Times New Roman" w:cs="Times New Roman"/>
                <w:sz w:val="24"/>
                <w:szCs w:val="24"/>
              </w:rPr>
            </w:pPr>
          </w:p>
        </w:tc>
        <w:tc>
          <w:tcPr>
            <w:tcW w:w="1535" w:type="dxa"/>
          </w:tcPr>
          <w:p w14:paraId="36175C1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570A24E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134710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BE16C9">
            <w:pPr>
              <w:jc w:val="both"/>
              <w:rPr>
                <w:rFonts w:ascii="Times New Roman" w:hAnsi="Times New Roman" w:cs="Times New Roman"/>
                <w:sz w:val="24"/>
                <w:szCs w:val="24"/>
              </w:rPr>
            </w:pPr>
          </w:p>
        </w:tc>
        <w:tc>
          <w:tcPr>
            <w:tcW w:w="1535" w:type="dxa"/>
          </w:tcPr>
          <w:p w14:paraId="74A1427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BE16C9">
            <w:pPr>
              <w:jc w:val="both"/>
              <w:rPr>
                <w:rFonts w:ascii="Times New Roman" w:hAnsi="Times New Roman" w:cs="Times New Roman"/>
                <w:sz w:val="24"/>
                <w:szCs w:val="24"/>
              </w:rPr>
            </w:pPr>
          </w:p>
        </w:tc>
        <w:tc>
          <w:tcPr>
            <w:tcW w:w="1535" w:type="dxa"/>
          </w:tcPr>
          <w:p w14:paraId="50416D6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BE16C9">
            <w:pPr>
              <w:jc w:val="both"/>
              <w:rPr>
                <w:rFonts w:ascii="Times New Roman" w:hAnsi="Times New Roman" w:cs="Times New Roman"/>
                <w:sz w:val="24"/>
                <w:szCs w:val="24"/>
              </w:rPr>
            </w:pPr>
          </w:p>
        </w:tc>
        <w:tc>
          <w:tcPr>
            <w:tcW w:w="1535" w:type="dxa"/>
          </w:tcPr>
          <w:p w14:paraId="60101F8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BE16C9">
            <w:pPr>
              <w:jc w:val="both"/>
              <w:rPr>
                <w:rFonts w:ascii="Times New Roman" w:hAnsi="Times New Roman" w:cs="Times New Roman"/>
                <w:sz w:val="24"/>
                <w:szCs w:val="24"/>
              </w:rPr>
            </w:pPr>
          </w:p>
        </w:tc>
        <w:tc>
          <w:tcPr>
            <w:tcW w:w="1535" w:type="dxa"/>
          </w:tcPr>
          <w:p w14:paraId="22CC19B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BE16C9">
            <w:pPr>
              <w:jc w:val="both"/>
              <w:rPr>
                <w:rFonts w:ascii="Times New Roman" w:hAnsi="Times New Roman" w:cs="Times New Roman"/>
                <w:sz w:val="24"/>
                <w:szCs w:val="24"/>
              </w:rPr>
            </w:pPr>
          </w:p>
        </w:tc>
        <w:tc>
          <w:tcPr>
            <w:tcW w:w="1535" w:type="dxa"/>
          </w:tcPr>
          <w:p w14:paraId="3771C5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BE16C9">
            <w:pPr>
              <w:jc w:val="both"/>
              <w:rPr>
                <w:rFonts w:ascii="Times New Roman" w:hAnsi="Times New Roman" w:cs="Times New Roman"/>
                <w:sz w:val="24"/>
                <w:szCs w:val="24"/>
              </w:rPr>
            </w:pPr>
          </w:p>
        </w:tc>
        <w:tc>
          <w:tcPr>
            <w:tcW w:w="1535" w:type="dxa"/>
          </w:tcPr>
          <w:p w14:paraId="080B747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BE16C9">
            <w:pPr>
              <w:jc w:val="both"/>
              <w:rPr>
                <w:rFonts w:ascii="Times New Roman" w:hAnsi="Times New Roman" w:cs="Times New Roman"/>
                <w:sz w:val="24"/>
                <w:szCs w:val="24"/>
              </w:rPr>
            </w:pPr>
          </w:p>
        </w:tc>
        <w:tc>
          <w:tcPr>
            <w:tcW w:w="1535" w:type="dxa"/>
          </w:tcPr>
          <w:p w14:paraId="1F579A9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BE16C9">
            <w:pPr>
              <w:jc w:val="both"/>
              <w:rPr>
                <w:rFonts w:ascii="Times New Roman" w:hAnsi="Times New Roman" w:cs="Times New Roman"/>
                <w:sz w:val="24"/>
                <w:szCs w:val="24"/>
              </w:rPr>
            </w:pPr>
          </w:p>
        </w:tc>
        <w:tc>
          <w:tcPr>
            <w:tcW w:w="1535" w:type="dxa"/>
          </w:tcPr>
          <w:p w14:paraId="0E5149D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Evlilik Kalitesi, Eş Tükenmişliği Ve Aile Ekonomik Güçlüğü Ortalama Puanlarının Sosyo-Ekonomik Değişkenlere Göre Karşılaştırılmasına İlişkin Bulgular</w:t>
      </w:r>
    </w:p>
    <w:p w14:paraId="0D9FDE9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Evli çiftlerin  “evlilik kalitesi”, “eş tükenmişliği” ve “aile ekonomik güçlüğü”  değişkenlerinin ortalama puanlarının sosyo-ekonomik değişkenlerine göre karşılaştırılmasına ilişkin 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w:t>
      </w:r>
      <w:r w:rsidRPr="00B55873">
        <w:rPr>
          <w:rFonts w:ascii="Times New Roman" w:hAnsi="Times New Roman" w:cs="Times New Roman"/>
          <w:sz w:val="24"/>
          <w:szCs w:val="24"/>
        </w:rPr>
        <w:lastRenderedPageBreak/>
        <w:t>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w:t>
      </w:r>
      <w:r w:rsidRPr="00B55873">
        <w:rPr>
          <w:rFonts w:ascii="Times New Roman" w:hAnsi="Times New Roman" w:cs="Times New Roman"/>
          <w:sz w:val="24"/>
          <w:szCs w:val="24"/>
        </w:rPr>
        <w:lastRenderedPageBreak/>
        <w:t>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w:t>
      </w:r>
      <w:r w:rsidRPr="00B55873">
        <w:rPr>
          <w:rFonts w:ascii="Times New Roman" w:hAnsi="Times New Roman" w:cs="Times New Roman"/>
          <w:sz w:val="24"/>
          <w:szCs w:val="24"/>
        </w:rPr>
        <w:lastRenderedPageBreak/>
        <w:t>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w:t>
      </w:r>
      <w:r w:rsidRPr="00B55873">
        <w:rPr>
          <w:rFonts w:ascii="Times New Roman" w:hAnsi="Times New Roman" w:cs="Times New Roman"/>
          <w:sz w:val="24"/>
          <w:szCs w:val="24"/>
        </w:rPr>
        <w:lastRenderedPageBreak/>
        <w:t>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TabloKlavuzu"/>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BE16C9">
            <w:pPr>
              <w:jc w:val="both"/>
              <w:rPr>
                <w:rFonts w:ascii="Times New Roman" w:hAnsi="Times New Roman" w:cs="Times New Roman"/>
                <w:sz w:val="24"/>
                <w:szCs w:val="24"/>
              </w:rPr>
            </w:pPr>
          </w:p>
        </w:tc>
        <w:tc>
          <w:tcPr>
            <w:tcW w:w="2302" w:type="dxa"/>
          </w:tcPr>
          <w:p w14:paraId="4DD066E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BE16C9">
            <w:pPr>
              <w:jc w:val="both"/>
              <w:rPr>
                <w:rFonts w:ascii="Times New Roman" w:hAnsi="Times New Roman" w:cs="Times New Roman"/>
                <w:sz w:val="24"/>
                <w:szCs w:val="24"/>
              </w:rPr>
            </w:pPr>
          </w:p>
        </w:tc>
        <w:tc>
          <w:tcPr>
            <w:tcW w:w="2303" w:type="dxa"/>
          </w:tcPr>
          <w:p w14:paraId="77206AB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BE16C9">
            <w:pPr>
              <w:jc w:val="both"/>
              <w:rPr>
                <w:rFonts w:ascii="Times New Roman" w:hAnsi="Times New Roman" w:cs="Times New Roman"/>
                <w:sz w:val="24"/>
                <w:szCs w:val="24"/>
              </w:rPr>
            </w:pPr>
          </w:p>
        </w:tc>
        <w:tc>
          <w:tcPr>
            <w:tcW w:w="2303" w:type="dxa"/>
          </w:tcPr>
          <w:p w14:paraId="54EB04E3" w14:textId="77777777" w:rsidR="00BE16C9" w:rsidRPr="00BE16C9" w:rsidRDefault="00BE16C9" w:rsidP="00BE16C9">
            <w:pPr>
              <w:jc w:val="both"/>
              <w:rPr>
                <w:rFonts w:ascii="Times New Roman" w:hAnsi="Times New Roman" w:cs="Times New Roman"/>
                <w:sz w:val="24"/>
                <w:szCs w:val="24"/>
              </w:rPr>
            </w:pPr>
          </w:p>
        </w:tc>
        <w:tc>
          <w:tcPr>
            <w:tcW w:w="2303" w:type="dxa"/>
          </w:tcPr>
          <w:p w14:paraId="57276E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-.240 (.9659</w:t>
            </w:r>
          </w:p>
        </w:tc>
      </w:tr>
      <w:tr w:rsidR="00BE16C9" w:rsidRPr="00BE16C9" w14:paraId="48B32C3F" w14:textId="77777777" w:rsidTr="00BE16C9">
        <w:tc>
          <w:tcPr>
            <w:tcW w:w="2302" w:type="dxa"/>
          </w:tcPr>
          <w:p w14:paraId="0DA21CC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BE16C9">
            <w:pPr>
              <w:jc w:val="both"/>
              <w:rPr>
                <w:rFonts w:ascii="Times New Roman" w:hAnsi="Times New Roman" w:cs="Times New Roman"/>
                <w:sz w:val="24"/>
                <w:szCs w:val="24"/>
              </w:rPr>
            </w:pPr>
          </w:p>
        </w:tc>
        <w:tc>
          <w:tcPr>
            <w:tcW w:w="2303" w:type="dxa"/>
          </w:tcPr>
          <w:p w14:paraId="23C9E3DC" w14:textId="77777777" w:rsidR="00BE16C9" w:rsidRPr="00BE16C9" w:rsidRDefault="00BE16C9" w:rsidP="00BE16C9">
            <w:pPr>
              <w:jc w:val="both"/>
              <w:rPr>
                <w:rFonts w:ascii="Times New Roman" w:hAnsi="Times New Roman" w:cs="Times New Roman"/>
                <w:sz w:val="24"/>
                <w:szCs w:val="24"/>
              </w:rPr>
            </w:pPr>
          </w:p>
        </w:tc>
        <w:tc>
          <w:tcPr>
            <w:tcW w:w="2303" w:type="dxa"/>
          </w:tcPr>
          <w:p w14:paraId="133739D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BE16C9">
            <w:pPr>
              <w:jc w:val="both"/>
              <w:rPr>
                <w:rFonts w:ascii="Times New Roman" w:hAnsi="Times New Roman" w:cs="Times New Roman"/>
                <w:sz w:val="24"/>
                <w:szCs w:val="24"/>
              </w:rPr>
            </w:pPr>
          </w:p>
        </w:tc>
        <w:tc>
          <w:tcPr>
            <w:tcW w:w="2303" w:type="dxa"/>
          </w:tcPr>
          <w:p w14:paraId="2995C078" w14:textId="77777777" w:rsidR="00BE16C9" w:rsidRPr="00BE16C9" w:rsidRDefault="00BE16C9" w:rsidP="00BE16C9">
            <w:pPr>
              <w:jc w:val="both"/>
              <w:rPr>
                <w:rFonts w:ascii="Times New Roman" w:hAnsi="Times New Roman" w:cs="Times New Roman"/>
                <w:sz w:val="24"/>
                <w:szCs w:val="24"/>
              </w:rPr>
            </w:pPr>
          </w:p>
        </w:tc>
        <w:tc>
          <w:tcPr>
            <w:tcW w:w="2303" w:type="dxa"/>
          </w:tcPr>
          <w:p w14:paraId="710583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BE16C9">
            <w:pPr>
              <w:jc w:val="both"/>
              <w:rPr>
                <w:rFonts w:ascii="Times New Roman" w:hAnsi="Times New Roman" w:cs="Times New Roman"/>
                <w:sz w:val="24"/>
                <w:szCs w:val="24"/>
              </w:rPr>
            </w:pPr>
          </w:p>
        </w:tc>
        <w:tc>
          <w:tcPr>
            <w:tcW w:w="2303" w:type="dxa"/>
          </w:tcPr>
          <w:p w14:paraId="7DA564EF" w14:textId="77777777" w:rsidR="00BE16C9" w:rsidRPr="00BE16C9" w:rsidRDefault="00BE16C9" w:rsidP="00BE16C9">
            <w:pPr>
              <w:jc w:val="both"/>
              <w:rPr>
                <w:rFonts w:ascii="Times New Roman" w:hAnsi="Times New Roman" w:cs="Times New Roman"/>
                <w:sz w:val="24"/>
                <w:szCs w:val="24"/>
              </w:rPr>
            </w:pPr>
          </w:p>
        </w:tc>
        <w:tc>
          <w:tcPr>
            <w:tcW w:w="2303" w:type="dxa"/>
          </w:tcPr>
          <w:p w14:paraId="4D1E15E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.137 (.1129</w:t>
            </w:r>
          </w:p>
        </w:tc>
      </w:tr>
      <w:tr w:rsidR="00BE16C9" w:rsidRPr="00BE16C9" w14:paraId="2C83F9A3" w14:textId="77777777" w:rsidTr="00BE16C9">
        <w:tc>
          <w:tcPr>
            <w:tcW w:w="2302" w:type="dxa"/>
          </w:tcPr>
          <w:p w14:paraId="63821C5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BE16C9">
            <w:pPr>
              <w:jc w:val="both"/>
              <w:rPr>
                <w:rFonts w:ascii="Times New Roman" w:hAnsi="Times New Roman" w:cs="Times New Roman"/>
                <w:sz w:val="24"/>
                <w:szCs w:val="24"/>
              </w:rPr>
            </w:pPr>
          </w:p>
        </w:tc>
        <w:tc>
          <w:tcPr>
            <w:tcW w:w="2303" w:type="dxa"/>
          </w:tcPr>
          <w:p w14:paraId="4B98BA14" w14:textId="77777777" w:rsidR="00BE16C9" w:rsidRPr="00BE16C9" w:rsidRDefault="00BE16C9" w:rsidP="00BE16C9">
            <w:pPr>
              <w:jc w:val="both"/>
              <w:rPr>
                <w:rFonts w:ascii="Times New Roman" w:hAnsi="Times New Roman" w:cs="Times New Roman"/>
                <w:sz w:val="24"/>
                <w:szCs w:val="24"/>
              </w:rPr>
            </w:pPr>
          </w:p>
        </w:tc>
        <w:tc>
          <w:tcPr>
            <w:tcW w:w="2303" w:type="dxa"/>
          </w:tcPr>
          <w:p w14:paraId="3D276C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BE16C9">
            <w:pPr>
              <w:jc w:val="both"/>
              <w:rPr>
                <w:rFonts w:ascii="Times New Roman" w:hAnsi="Times New Roman" w:cs="Times New Roman"/>
                <w:sz w:val="24"/>
                <w:szCs w:val="24"/>
              </w:rPr>
            </w:pPr>
          </w:p>
        </w:tc>
        <w:tc>
          <w:tcPr>
            <w:tcW w:w="2303" w:type="dxa"/>
          </w:tcPr>
          <w:p w14:paraId="744D1EDB" w14:textId="77777777" w:rsidR="00BE16C9" w:rsidRPr="00BE16C9" w:rsidRDefault="00BE16C9" w:rsidP="00BE16C9">
            <w:pPr>
              <w:jc w:val="both"/>
              <w:rPr>
                <w:rFonts w:ascii="Times New Roman" w:hAnsi="Times New Roman" w:cs="Times New Roman"/>
                <w:sz w:val="24"/>
                <w:szCs w:val="24"/>
              </w:rPr>
            </w:pPr>
          </w:p>
        </w:tc>
        <w:tc>
          <w:tcPr>
            <w:tcW w:w="2303" w:type="dxa"/>
          </w:tcPr>
          <w:p w14:paraId="4DA5B0F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BE16C9">
            <w:pPr>
              <w:jc w:val="both"/>
              <w:rPr>
                <w:rFonts w:ascii="Times New Roman" w:hAnsi="Times New Roman" w:cs="Times New Roman"/>
                <w:sz w:val="24"/>
                <w:szCs w:val="24"/>
              </w:rPr>
            </w:pPr>
          </w:p>
        </w:tc>
        <w:tc>
          <w:tcPr>
            <w:tcW w:w="2303" w:type="dxa"/>
          </w:tcPr>
          <w:p w14:paraId="78423B51" w14:textId="77777777" w:rsidR="00BE16C9" w:rsidRPr="00BE16C9" w:rsidRDefault="00BE16C9" w:rsidP="00BE16C9">
            <w:pPr>
              <w:jc w:val="both"/>
              <w:rPr>
                <w:rFonts w:ascii="Times New Roman" w:hAnsi="Times New Roman" w:cs="Times New Roman"/>
                <w:sz w:val="24"/>
                <w:szCs w:val="24"/>
              </w:rPr>
            </w:pPr>
          </w:p>
        </w:tc>
        <w:tc>
          <w:tcPr>
            <w:tcW w:w="2303" w:type="dxa"/>
          </w:tcPr>
          <w:p w14:paraId="1FEA80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BE16C9">
            <w:pPr>
              <w:jc w:val="both"/>
              <w:rPr>
                <w:rFonts w:ascii="Times New Roman" w:hAnsi="Times New Roman" w:cs="Times New Roman"/>
                <w:sz w:val="24"/>
                <w:szCs w:val="24"/>
              </w:rPr>
            </w:pPr>
          </w:p>
        </w:tc>
        <w:tc>
          <w:tcPr>
            <w:tcW w:w="2303" w:type="dxa"/>
          </w:tcPr>
          <w:p w14:paraId="63F08ED5" w14:textId="77777777" w:rsidR="00BE16C9" w:rsidRPr="00BE16C9" w:rsidRDefault="00BE16C9" w:rsidP="00BE16C9">
            <w:pPr>
              <w:jc w:val="both"/>
              <w:rPr>
                <w:rFonts w:ascii="Times New Roman" w:hAnsi="Times New Roman" w:cs="Times New Roman"/>
                <w:sz w:val="24"/>
                <w:szCs w:val="24"/>
              </w:rPr>
            </w:pPr>
          </w:p>
        </w:tc>
        <w:tc>
          <w:tcPr>
            <w:tcW w:w="2303" w:type="dxa"/>
          </w:tcPr>
          <w:p w14:paraId="1EA46E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BE16C9">
            <w:pPr>
              <w:jc w:val="both"/>
              <w:rPr>
                <w:rFonts w:ascii="Times New Roman" w:hAnsi="Times New Roman" w:cs="Times New Roman"/>
                <w:sz w:val="24"/>
                <w:szCs w:val="24"/>
              </w:rPr>
            </w:pPr>
          </w:p>
        </w:tc>
        <w:tc>
          <w:tcPr>
            <w:tcW w:w="2303" w:type="dxa"/>
          </w:tcPr>
          <w:p w14:paraId="57739176" w14:textId="77777777" w:rsidR="00BE16C9" w:rsidRPr="00BE16C9" w:rsidRDefault="00BE16C9" w:rsidP="00BE16C9">
            <w:pPr>
              <w:jc w:val="both"/>
              <w:rPr>
                <w:rFonts w:ascii="Times New Roman" w:hAnsi="Times New Roman" w:cs="Times New Roman"/>
                <w:sz w:val="24"/>
                <w:szCs w:val="24"/>
              </w:rPr>
            </w:pPr>
          </w:p>
        </w:tc>
        <w:tc>
          <w:tcPr>
            <w:tcW w:w="2303" w:type="dxa"/>
          </w:tcPr>
          <w:p w14:paraId="07A0443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BE16C9">
            <w:pPr>
              <w:jc w:val="both"/>
              <w:rPr>
                <w:rFonts w:ascii="Times New Roman" w:hAnsi="Times New Roman" w:cs="Times New Roman"/>
                <w:sz w:val="24"/>
                <w:szCs w:val="24"/>
              </w:rPr>
            </w:pPr>
          </w:p>
        </w:tc>
        <w:tc>
          <w:tcPr>
            <w:tcW w:w="2303" w:type="dxa"/>
          </w:tcPr>
          <w:p w14:paraId="5EBF300D" w14:textId="77777777" w:rsidR="00BE16C9" w:rsidRPr="00BE16C9" w:rsidRDefault="00BE16C9" w:rsidP="00BE16C9">
            <w:pPr>
              <w:jc w:val="both"/>
              <w:rPr>
                <w:rFonts w:ascii="Times New Roman" w:hAnsi="Times New Roman" w:cs="Times New Roman"/>
                <w:sz w:val="24"/>
                <w:szCs w:val="24"/>
              </w:rPr>
            </w:pPr>
          </w:p>
        </w:tc>
        <w:tc>
          <w:tcPr>
            <w:tcW w:w="2303" w:type="dxa"/>
          </w:tcPr>
          <w:p w14:paraId="67A34D6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BE16C9">
            <w:pPr>
              <w:jc w:val="both"/>
              <w:rPr>
                <w:rFonts w:ascii="Times New Roman" w:hAnsi="Times New Roman" w:cs="Times New Roman"/>
                <w:sz w:val="24"/>
                <w:szCs w:val="24"/>
              </w:rPr>
            </w:pPr>
          </w:p>
        </w:tc>
        <w:tc>
          <w:tcPr>
            <w:tcW w:w="2303" w:type="dxa"/>
          </w:tcPr>
          <w:p w14:paraId="1759BA07" w14:textId="77777777" w:rsidR="00BE16C9" w:rsidRPr="00BE16C9" w:rsidRDefault="00BE16C9" w:rsidP="00BE16C9">
            <w:pPr>
              <w:jc w:val="both"/>
              <w:rPr>
                <w:rFonts w:ascii="Times New Roman" w:hAnsi="Times New Roman" w:cs="Times New Roman"/>
                <w:sz w:val="24"/>
                <w:szCs w:val="24"/>
              </w:rPr>
            </w:pPr>
          </w:p>
        </w:tc>
        <w:tc>
          <w:tcPr>
            <w:tcW w:w="2303" w:type="dxa"/>
          </w:tcPr>
          <w:p w14:paraId="6842683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Constant</w:t>
            </w:r>
          </w:p>
        </w:tc>
        <w:tc>
          <w:tcPr>
            <w:tcW w:w="2302" w:type="dxa"/>
          </w:tcPr>
          <w:p w14:paraId="55E879B7" w14:textId="77777777" w:rsidR="00BE16C9" w:rsidRPr="00BE16C9" w:rsidRDefault="00BE16C9" w:rsidP="00BE16C9">
            <w:pPr>
              <w:jc w:val="both"/>
              <w:rPr>
                <w:rFonts w:ascii="Times New Roman" w:hAnsi="Times New Roman" w:cs="Times New Roman"/>
                <w:sz w:val="24"/>
                <w:szCs w:val="24"/>
              </w:rPr>
            </w:pPr>
          </w:p>
        </w:tc>
        <w:tc>
          <w:tcPr>
            <w:tcW w:w="2303" w:type="dxa"/>
          </w:tcPr>
          <w:p w14:paraId="52924D00" w14:textId="77777777" w:rsidR="00BE16C9" w:rsidRPr="00BE16C9" w:rsidRDefault="00BE16C9" w:rsidP="00BE16C9">
            <w:pPr>
              <w:jc w:val="both"/>
              <w:rPr>
                <w:rFonts w:ascii="Times New Roman" w:hAnsi="Times New Roman" w:cs="Times New Roman"/>
                <w:sz w:val="24"/>
                <w:szCs w:val="24"/>
              </w:rPr>
            </w:pPr>
          </w:p>
        </w:tc>
        <w:tc>
          <w:tcPr>
            <w:tcW w:w="2303" w:type="dxa"/>
          </w:tcPr>
          <w:p w14:paraId="51A0EBF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597D992"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14:paraId="660FCE5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w:t>
      </w:r>
      <w:r w:rsidRPr="00B55873">
        <w:rPr>
          <w:rFonts w:ascii="Times New Roman" w:hAnsi="Times New Roman" w:cs="Times New Roman"/>
          <w:sz w:val="24"/>
          <w:szCs w:val="24"/>
        </w:rPr>
        <w:lastRenderedPageBreak/>
        <w:t xml:space="preserve">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w:t>
      </w:r>
      <w:r w:rsidRPr="00B55873">
        <w:rPr>
          <w:rFonts w:ascii="Times New Roman" w:hAnsi="Times New Roman" w:cs="Times New Roman"/>
          <w:sz w:val="24"/>
          <w:szCs w:val="24"/>
        </w:rPr>
        <w:lastRenderedPageBreak/>
        <w:t xml:space="preserve">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14:paraId="0634B60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w:t>
      </w:r>
      <w:r w:rsidRPr="00B55873">
        <w:rPr>
          <w:rFonts w:ascii="Times New Roman" w:hAnsi="Times New Roman" w:cs="Times New Roman"/>
          <w:sz w:val="24"/>
          <w:szCs w:val="24"/>
        </w:rPr>
        <w:lastRenderedPageBreak/>
        <w:t xml:space="preserve">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Allendorf, K., &amp; Ghimire, D. (2012). Determinants of marital quality in an arranged marriage society. Population Studies Center Research Reports, 12-758, USA.</w:t>
      </w:r>
    </w:p>
    <w:p w14:paraId="6F8A22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Amato, P.R., &amp; Booth, A. (1995). Changes in gender role attitudes and perceived marital quality. American Sociological Review, 60 (1), 58-66.</w:t>
      </w:r>
    </w:p>
    <w:p w14:paraId="2165970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Bird, G.W., &amp; Melville, K. (1994). Families and intimate relationships. New York: McGraw-Hill Companies.</w:t>
      </w:r>
    </w:p>
    <w:p w14:paraId="51605D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Botkin, D. R., Weeks, M. N., &amp; Morris, J. E. (2000). Changing marriage role expectations: 1961–1996. Sex Roles, 42(9-10), 933-942.</w:t>
      </w:r>
    </w:p>
    <w:p w14:paraId="79024F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Clark-Nicolas, P., &amp; Gray-Little, B. (1991). Effect of economic resources on marital quality in black married couples. Journal of Marriage and Family, 53 (3), 645-655.</w:t>
      </w:r>
    </w:p>
    <w:p w14:paraId="68C33C4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Conger, R.D., Elder,G.H., Lorenz, F.O., Conger, K.J., Simons, R.L., Whitbeck, L.B. ve ark. (1990). Linking economic hardship to marital quality and instability. Journal of Marriage and Family, 52 (3), 643-656</w:t>
      </w:r>
    </w:p>
    <w:p w14:paraId="24ED5A5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Connides, I. A. (2001). Family ties and aging. Thousand Oaks, CA: Sage.</w:t>
      </w:r>
    </w:p>
    <w:p w14:paraId="40B0C6C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Cox, F. D. (2006). Human intimacy: Marriage, the family, and its meaning. Belmont, CA : Thomson/Wadsworth. </w:t>
      </w:r>
    </w:p>
    <w:p w14:paraId="58C6991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Çapri, B. (2008). Eş tükenmişliğini yordayan değişkenlerin incelenmesi. Doktora Tezi, Mersin Üniversitesi Sosyal Bilimler Enstitüsü. Mersin.</w:t>
      </w:r>
    </w:p>
    <w:p w14:paraId="55EB9DD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Erbek, E., Beştepe, E., Akar, H., Eradamlar, N., &amp; Alpkan, E. L. (2005).  Evlilik uyumu.  Düşünen Adam Psikiyatri ve Nörolojik Bilimler Dergisi, 18 (1), 39-47.</w:t>
      </w:r>
    </w:p>
    <w:p w14:paraId="4B12E11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Erci, B., &amp; Ergin, R. (2005). Women’s satisfaction with their marriage in Turkey. Marriage and Family Review, 37, 117-133.</w:t>
      </w:r>
    </w:p>
    <w:p w14:paraId="2E526B6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Faulkner, R. A., Klock, K., &amp; Gale, J. E. (2002). Qualitative research in family therapy: Publication trends from 1980 to 1999. Journal of Marital and Family Therapy, 28(1), 69-74.</w:t>
      </w:r>
    </w:p>
    <w:p w14:paraId="2AF00B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Fincham, F. D. (1998). Child development and marital relations. Child Development, 69 (2), 543-574.</w:t>
      </w:r>
    </w:p>
    <w:p w14:paraId="55EDF5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Gladding, S. T. (2012). Family therapy (Aile Terapisi, Edit: İ. Keklik ve İ. Yıldırım). Ankara: Türk PDR-DER Yayınları.</w:t>
      </w:r>
    </w:p>
    <w:p w14:paraId="24FB336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Gül, G. (2003). Aile ve evlilik kurumu. Evlilik Okulu Kişiler Arası İlişkiler ve İletişim Becerileri (Edi. Haluk Yavuzer).11. Basım. İstanbul: Remzi Kitabevi</w:t>
      </w:r>
    </w:p>
    <w:p w14:paraId="53EFDB4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Hilton, J. M., &amp; Devall, E. L. (1997). The family economic strain scale: development and evaluation of the instrument with single and two-parent families. Journal of Family and Economic Issues, 18(3), 247-271.</w:t>
      </w:r>
    </w:p>
    <w:p w14:paraId="33BBD2A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Jackson, J. B., Miller, R. B., Oka, M., &amp; Henry, R. G. (2014). Gender differences in marital satisfaction: A meta- analysis. Journal of Marriage and Family, 76, 105-129.</w:t>
      </w:r>
    </w:p>
    <w:p w14:paraId="478C989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Jensen, J., Rauer, A., &amp; Volling, B. (2013). A dyadic view of support in marriage: The critical role of men’s support provision. Sex Roles, 68, 427-438.</w:t>
      </w:r>
    </w:p>
    <w:p w14:paraId="77C7EAB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Kendir, E. M., &amp; Demirli, C. (2016). Evlilik doyumu üzerinde anne baba tutumunun etkisinin incelenmesi. Education Sciences, 11 (3), 96-113.</w:t>
      </w:r>
    </w:p>
    <w:p w14:paraId="10E4A58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Kızıldağ, S. (2015). Eş tükenmişliği: Bir model testi. Yayınlanmamış Doktora tezi, Hacettepe Üniversitesi Sosyal Bilimler Enstitüsü, Ankara.</w:t>
      </w:r>
    </w:p>
    <w:p w14:paraId="2EAE152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Kodan,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Kodan-Çetinkaya, S., &amp; Gençdoğan, B. (2014). The relationship between marital quality, attitudes towards gender roles and life satisfaction among the married individuals, Psychology, Society ve Education, 6(2), 94-112. </w:t>
      </w:r>
    </w:p>
    <w:p w14:paraId="7877029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Kwon, H.E., Rueter, M.A., Lee, M.İ., Koh, S., &amp; Ok, S.W.   (2003). Marital relationships following the Korean economic crisis: applying the family stress model. Journal of Marriage and Family,  65 (2),  316–325.</w:t>
      </w:r>
    </w:p>
    <w:p w14:paraId="08AC4D8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14:paraId="5526FDB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Machaty, A. (2013). Dispositional optimism and marital adjustment. Master of Science, Colloge of Agriculture, University of Kentucky.</w:t>
      </w:r>
    </w:p>
    <w:p w14:paraId="53DF84B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Mason, T. M., Canlas, C. M., &amp; Wang, D. N. (2013). Marital satisfaction and depressive symptoms in China. Journal of Family Psychology, 27(4), 677-682.</w:t>
      </w:r>
    </w:p>
    <w:p w14:paraId="40F2F4F0"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Nakip, M. (2003). Pazarlama araştırmaları teknikler ve spss destekli uygulamalar. Ankara: Seçkin Yayıncılık.</w:t>
      </w:r>
    </w:p>
    <w:p w14:paraId="43AB653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Norton, R. (1983). Measuring marital quality: A critical look at the dependent variable. Journal of Marriage and Family, 45, 141-151.</w:t>
      </w:r>
    </w:p>
    <w:p w14:paraId="2156DA8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terapisi. Ankara: PDR Yayınları </w:t>
      </w:r>
    </w:p>
    <w:p w14:paraId="1C09537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Özgüven, İ. E. (2010). Ailede iletişim ve yaşam. Ankara: Pdrem Yayınları</w:t>
      </w:r>
    </w:p>
    <w:p w14:paraId="2CD2E1F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Pew Research Center (PRC) (2013). Social and Demographic Trends Project: Love And Marriage. [Çevrim-içi:http://www.pewsocialtrends.org/2010/11/18/iii-marriage/], Erişim Tarihi: 11 Ekim 2015</w:t>
      </w:r>
    </w:p>
    <w:p w14:paraId="3133278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(1996). Couple Burnout. New York / London: Routledge.</w:t>
      </w:r>
    </w:p>
    <w:p w14:paraId="12814B3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&amp; Nunes, R. (2003). The relationship between career and couple burnout: implications for career and couple counseling. Journal of Employment Counseling, 40 (2), 50-64.</w:t>
      </w:r>
    </w:p>
    <w:p w14:paraId="052FC55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Proulx, C. M., Helms, H. M., &amp; Buehler, C. Y. L. (2007). Marital quality and personal well-being:  A meta-analysis. Journal of Marriage and Family, 69, 576-593. </w:t>
      </w:r>
    </w:p>
    <w:p w14:paraId="14B269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Retting, K. D., &amp; Bubolz, M. M. (1983). Interpersonal resource exchange as indicators of quality of marrage. Journal of Marriage and Family, 45(3), 497-509.</w:t>
      </w:r>
    </w:p>
    <w:p w14:paraId="1B7ADE7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Rostami, A., Ghazinour, M.,  Nygren, L., &amp; Richter, J. (2014). Marital satisfaction with a special focus on gender differences in medical staff in Tehran, Iran. Journal of Family Issues, 35(4), 1940-1958.</w:t>
      </w:r>
    </w:p>
    <w:p w14:paraId="53B618C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Saxton. L. (1982). The nature of marriage, the individual, marriage, and the family. (5.Edith). Wadsworth Publishing Company Belmont, California A Division of Wadswort, Inc. (pp.216-224).</w:t>
      </w:r>
    </w:p>
    <w:p w14:paraId="0BE1936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14:paraId="67E10C6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Tabachnick, B. G., &amp; Fidell, L. S. (2015). Çok değişkenli istatistiklerin kullanımı (Edit: Mustafa Baloğlu). (6. Baskı). Ankara: Nobel Akademik Yayıncılık.</w:t>
      </w:r>
    </w:p>
    <w:p w14:paraId="68EE70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Terry, J., &amp; Kottman, M. (1995). Working with families. Guidance and counseling in the elementary and middle schools. Brown and Benchmark Publishers, (Pp: 254-281).</w:t>
      </w:r>
    </w:p>
    <w:p w14:paraId="1E5396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Vannoy, D., &amp; Philliber, W.W. (1992). Wife's employment and quality of marriage. Journal of Marriage and Family, 54 (2), 387-398.</w:t>
      </w:r>
    </w:p>
    <w:p w14:paraId="07B98A7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14:paraId="7401110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67F71CA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0E13D85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2A5E492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E286F8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04C31A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sectPr w:rsidR="00B55873" w:rsidRPr="00B55873" w:rsidSect="00B55873">
      <w:footerReference w:type="default" r:id="rId11"/>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14BC8" w14:textId="77777777" w:rsidR="00255A55" w:rsidRDefault="00255A55" w:rsidP="00974400">
      <w:pPr>
        <w:spacing w:after="0" w:line="240" w:lineRule="auto"/>
      </w:pPr>
      <w:r>
        <w:separator/>
      </w:r>
    </w:p>
  </w:endnote>
  <w:endnote w:type="continuationSeparator" w:id="0">
    <w:p w14:paraId="03866F6C" w14:textId="77777777" w:rsidR="00255A55" w:rsidRDefault="00255A55"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BF96" w14:textId="3764E6CA" w:rsidR="00D52EAA" w:rsidRPr="001F1BA5" w:rsidRDefault="00E3244E" w:rsidP="001F1BA5">
    <w:pPr>
      <w:pStyle w:val="AltBilgi"/>
      <w:rPr>
        <w:rFonts w:ascii="Times New Roman" w:hAnsi="Times New Roman" w:cs="Times New Roman"/>
        <w:b/>
        <w:sz w:val="24"/>
        <w:szCs w:val="24"/>
      </w:rPr>
    </w:pPr>
    <w:r w:rsidRPr="001F1BA5">
      <w:rPr>
        <w:rFonts w:ascii="Times New Roman" w:eastAsiaTheme="majorEastAsia" w:hAnsi="Times New Roman" w:cs="Times New Roman"/>
        <w:b/>
        <w:color w:val="4A3521" w:themeColor="accent5" w:themeShade="80"/>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DC010" w14:textId="77777777" w:rsidR="00255A55" w:rsidRDefault="00255A55" w:rsidP="00974400">
      <w:pPr>
        <w:spacing w:after="0" w:line="240" w:lineRule="auto"/>
      </w:pPr>
      <w:r>
        <w:separator/>
      </w:r>
    </w:p>
  </w:footnote>
  <w:footnote w:type="continuationSeparator" w:id="0">
    <w:p w14:paraId="53AF3F38" w14:textId="77777777" w:rsidR="00255A55" w:rsidRDefault="00255A55" w:rsidP="00974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1F1BA5"/>
    <w:rsid w:val="00212B7F"/>
    <w:rsid w:val="00255A55"/>
    <w:rsid w:val="00290FAD"/>
    <w:rsid w:val="00291507"/>
    <w:rsid w:val="002A797F"/>
    <w:rsid w:val="002A7987"/>
    <w:rsid w:val="00303E03"/>
    <w:rsid w:val="00313E8D"/>
    <w:rsid w:val="003E461F"/>
    <w:rsid w:val="004365B3"/>
    <w:rsid w:val="004838DD"/>
    <w:rsid w:val="004840F0"/>
    <w:rsid w:val="004B3216"/>
    <w:rsid w:val="004E0072"/>
    <w:rsid w:val="004E2EF1"/>
    <w:rsid w:val="00503A0B"/>
    <w:rsid w:val="00507157"/>
    <w:rsid w:val="00554B00"/>
    <w:rsid w:val="005808E9"/>
    <w:rsid w:val="005A0FE5"/>
    <w:rsid w:val="005D3B45"/>
    <w:rsid w:val="005E2E11"/>
    <w:rsid w:val="0066535B"/>
    <w:rsid w:val="006A7342"/>
    <w:rsid w:val="006D22DE"/>
    <w:rsid w:val="007063BD"/>
    <w:rsid w:val="007167E1"/>
    <w:rsid w:val="00726298"/>
    <w:rsid w:val="007358CA"/>
    <w:rsid w:val="00745D51"/>
    <w:rsid w:val="00760672"/>
    <w:rsid w:val="00786073"/>
    <w:rsid w:val="007D2320"/>
    <w:rsid w:val="00892C27"/>
    <w:rsid w:val="008A1D38"/>
    <w:rsid w:val="008A770A"/>
    <w:rsid w:val="009038F0"/>
    <w:rsid w:val="00913C18"/>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6792C1-3716-4F26-849E-EAF1DF3F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22</Pages>
  <Words>9155</Words>
  <Characters>53379</Characters>
  <Application>Microsoft Office Word</Application>
  <DocSecurity>0</DocSecurity>
  <Lines>4448</Lines>
  <Paragraphs>2501</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ULUSLARARASI ANKARA MULTİDİSİPLİNLER ÇALIŞMALAR KONGRESİ</dc:title>
  <dc:subject/>
  <dc:creator>Casper</dc:creator>
  <cp:keywords/>
  <dc:description/>
  <cp:lastModifiedBy>Alina Amanzholova</cp:lastModifiedBy>
  <cp:revision>38</cp:revision>
  <cp:lastPrinted>2019-12-27T21:52:00Z</cp:lastPrinted>
  <dcterms:created xsi:type="dcterms:W3CDTF">2019-04-03T21:01:00Z</dcterms:created>
  <dcterms:modified xsi:type="dcterms:W3CDTF">2021-05-01T07:36:00Z</dcterms:modified>
</cp:coreProperties>
</file>